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государственного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«История государственного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УК-5</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58.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учебного курса: принципы историзма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объективности познания; методы исторического и логического анализа процессов 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 исторического опыта и деятельности людей в этой сфере.</w:t>
            </w:r>
          </w:p>
          <w:p>
            <w:pPr>
              <w:jc w:val="both"/>
              <w:spacing w:after="0" w:line="240" w:lineRule="auto"/>
              <w:rPr>
                <w:sz w:val="24"/>
                <w:szCs w:val="24"/>
              </w:rPr>
            </w:pPr>
            <w:r>
              <w:rPr>
                <w:rFonts w:ascii="Times New Roman" w:hAnsi="Times New Roman" w:cs="Times New Roman"/>
                <w:color w:val="#000000"/>
                <w:sz w:val="24"/>
                <w:szCs w:val="24"/>
              </w:rPr>
              <w:t> 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pPr>
              <w:jc w:val="both"/>
              <w:spacing w:after="0" w:line="240" w:lineRule="auto"/>
              <w:rPr>
                <w:sz w:val="24"/>
                <w:szCs w:val="24"/>
              </w:rPr>
            </w:pPr>
            <w:r>
              <w:rPr>
                <w:rFonts w:ascii="Times New Roman" w:hAnsi="Times New Roman" w:cs="Times New Roman"/>
                <w:color w:val="#000000"/>
                <w:sz w:val="24"/>
                <w:szCs w:val="24"/>
              </w:rPr>
              <w:t> 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pPr>
              <w:jc w:val="both"/>
              <w:spacing w:after="0" w:line="240" w:lineRule="auto"/>
              <w:rPr>
                <w:sz w:val="24"/>
                <w:szCs w:val="24"/>
              </w:rPr>
            </w:pPr>
            <w:r>
              <w:rPr>
                <w:rFonts w:ascii="Times New Roman" w:hAnsi="Times New Roman" w:cs="Times New Roman"/>
                <w:color w:val="#000000"/>
                <w:sz w:val="24"/>
                <w:szCs w:val="24"/>
              </w:rPr>
              <w:t> 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pPr>
              <w:jc w:val="both"/>
              <w:spacing w:after="0" w:line="240" w:lineRule="auto"/>
              <w:rPr>
                <w:sz w:val="24"/>
                <w:szCs w:val="24"/>
              </w:rPr>
            </w:pPr>
            <w:r>
              <w:rPr>
                <w:rFonts w:ascii="Times New Roman" w:hAnsi="Times New Roman" w:cs="Times New Roman"/>
                <w:color w:val="#000000"/>
                <w:sz w:val="24"/>
                <w:szCs w:val="24"/>
              </w:rPr>
              <w:t> Проект государственного устройства М.М.Сперанского.</w:t>
            </w:r>
          </w:p>
          <w:p>
            <w:pPr>
              <w:jc w:val="both"/>
              <w:spacing w:after="0" w:line="240" w:lineRule="auto"/>
              <w:rPr>
                <w:sz w:val="24"/>
                <w:szCs w:val="24"/>
              </w:rPr>
            </w:pPr>
            <w:r>
              <w:rPr>
                <w:rFonts w:ascii="Times New Roman" w:hAnsi="Times New Roman" w:cs="Times New Roman"/>
                <w:color w:val="#000000"/>
                <w:sz w:val="24"/>
                <w:szCs w:val="24"/>
              </w:rPr>
              <w:t> 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pPr>
              <w:jc w:val="both"/>
              <w:spacing w:after="0" w:line="240" w:lineRule="auto"/>
              <w:rPr>
                <w:sz w:val="24"/>
                <w:szCs w:val="24"/>
              </w:rPr>
            </w:pPr>
            <w:r>
              <w:rPr>
                <w:rFonts w:ascii="Times New Roman" w:hAnsi="Times New Roman" w:cs="Times New Roman"/>
                <w:color w:val="#000000"/>
                <w:sz w:val="24"/>
                <w:szCs w:val="24"/>
              </w:rPr>
              <w:t> 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pPr>
              <w:jc w:val="both"/>
              <w:spacing w:after="0" w:line="240" w:lineRule="auto"/>
              <w:rPr>
                <w:sz w:val="24"/>
                <w:szCs w:val="24"/>
              </w:rPr>
            </w:pPr>
            <w:r>
              <w:rPr>
                <w:rFonts w:ascii="Times New Roman" w:hAnsi="Times New Roman" w:cs="Times New Roman"/>
                <w:color w:val="#000000"/>
                <w:sz w:val="24"/>
                <w:szCs w:val="24"/>
              </w:rPr>
              <w:t> 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774.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Правительствующего сената, Совета министров, министерств.</w:t>
            </w:r>
          </w:p>
          <w:p>
            <w:pPr>
              <w:jc w:val="both"/>
              <w:spacing w:after="0" w:line="240" w:lineRule="auto"/>
              <w:rPr>
                <w:sz w:val="24"/>
                <w:szCs w:val="24"/>
              </w:rPr>
            </w:pPr>
            <w:r>
              <w:rPr>
                <w:rFonts w:ascii="Times New Roman" w:hAnsi="Times New Roman" w:cs="Times New Roman"/>
                <w:color w:val="#000000"/>
                <w:sz w:val="24"/>
                <w:szCs w:val="24"/>
              </w:rPr>
              <w:t> 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pPr>
              <w:jc w:val="both"/>
              <w:spacing w:after="0" w:line="240" w:lineRule="auto"/>
              <w:rPr>
                <w:sz w:val="24"/>
                <w:szCs w:val="24"/>
              </w:rPr>
            </w:pPr>
            <w:r>
              <w:rPr>
                <w:rFonts w:ascii="Times New Roman" w:hAnsi="Times New Roman" w:cs="Times New Roman"/>
                <w:color w:val="#000000"/>
                <w:sz w:val="24"/>
                <w:szCs w:val="24"/>
              </w:rPr>
              <w:t> Проект реформ государственного управления (Конституции») М.Т. Лорис-Меликова.</w:t>
            </w:r>
          </w:p>
          <w:p>
            <w:pPr>
              <w:jc w:val="both"/>
              <w:spacing w:after="0" w:line="240" w:lineRule="auto"/>
              <w:rPr>
                <w:sz w:val="24"/>
                <w:szCs w:val="24"/>
              </w:rPr>
            </w:pPr>
            <w:r>
              <w:rPr>
                <w:rFonts w:ascii="Times New Roman" w:hAnsi="Times New Roman" w:cs="Times New Roman"/>
                <w:color w:val="#000000"/>
                <w:sz w:val="24"/>
                <w:szCs w:val="24"/>
              </w:rPr>
              <w:t> 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pPr>
              <w:jc w:val="both"/>
              <w:spacing w:after="0" w:line="240" w:lineRule="auto"/>
              <w:rPr>
                <w:sz w:val="24"/>
                <w:szCs w:val="24"/>
              </w:rPr>
            </w:pPr>
            <w:r>
              <w:rPr>
                <w:rFonts w:ascii="Times New Roman" w:hAnsi="Times New Roman" w:cs="Times New Roman"/>
                <w:color w:val="#000000"/>
                <w:sz w:val="24"/>
                <w:szCs w:val="24"/>
              </w:rPr>
              <w:t> Промышленный подъем в России в 90-е годы, возвышение роли хозяйственных министерств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Усиление роли православной религии и церкви в государственных делах, их влияния на общество.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pPr>
              <w:jc w:val="both"/>
              <w:spacing w:after="0" w:line="240" w:lineRule="auto"/>
              <w:rPr>
                <w:sz w:val="24"/>
                <w:szCs w:val="24"/>
              </w:rPr>
            </w:pPr>
            <w:r>
              <w:rPr>
                <w:rFonts w:ascii="Times New Roman" w:hAnsi="Times New Roman" w:cs="Times New Roman"/>
                <w:color w:val="#000000"/>
                <w:sz w:val="24"/>
                <w:szCs w:val="24"/>
              </w:rPr>
              <w:t> «военного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pPr>
              <w:jc w:val="both"/>
              <w:spacing w:after="0" w:line="240" w:lineRule="auto"/>
              <w:rPr>
                <w:sz w:val="24"/>
                <w:szCs w:val="24"/>
              </w:rPr>
            </w:pPr>
            <w:r>
              <w:rPr>
                <w:rFonts w:ascii="Times New Roman" w:hAnsi="Times New Roman" w:cs="Times New Roman"/>
                <w:color w:val="#000000"/>
                <w:sz w:val="24"/>
                <w:szCs w:val="24"/>
              </w:rPr>
              <w:t> 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pPr>
              <w:jc w:val="both"/>
              <w:spacing w:after="0" w:line="240" w:lineRule="auto"/>
              <w:rPr>
                <w:sz w:val="24"/>
                <w:szCs w:val="24"/>
              </w:rPr>
            </w:pPr>
            <w:r>
              <w:rPr>
                <w:rFonts w:ascii="Times New Roman" w:hAnsi="Times New Roman" w:cs="Times New Roman"/>
                <w:color w:val="#000000"/>
                <w:sz w:val="24"/>
                <w:szCs w:val="24"/>
              </w:rPr>
              <w:t> 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3103.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Нарастание противоречий между высшими эшелонами государственной и партийной 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 прав союзных республик, Советов депутатов трудящихся.</w:t>
            </w:r>
          </w:p>
          <w:p>
            <w:pPr>
              <w:jc w:val="both"/>
              <w:spacing w:after="0" w:line="240" w:lineRule="auto"/>
              <w:rPr>
                <w:sz w:val="24"/>
                <w:szCs w:val="24"/>
              </w:rPr>
            </w:pPr>
            <w:r>
              <w:rPr>
                <w:rFonts w:ascii="Times New Roman" w:hAnsi="Times New Roman" w:cs="Times New Roman"/>
                <w:color w:val="#000000"/>
                <w:sz w:val="24"/>
                <w:szCs w:val="24"/>
              </w:rPr>
              <w:t> 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pPr>
              <w:jc w:val="both"/>
              <w:spacing w:after="0" w:line="240" w:lineRule="auto"/>
              <w:rPr>
                <w:sz w:val="24"/>
                <w:szCs w:val="24"/>
              </w:rPr>
            </w:pPr>
            <w:r>
              <w:rPr>
                <w:rFonts w:ascii="Times New Roman" w:hAnsi="Times New Roman" w:cs="Times New Roman"/>
                <w:color w:val="#000000"/>
                <w:sz w:val="24"/>
                <w:szCs w:val="24"/>
              </w:rPr>
              <w:t> 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pPr>
              <w:jc w:val="both"/>
              <w:spacing w:after="0" w:line="240" w:lineRule="auto"/>
              <w:rPr>
                <w:sz w:val="24"/>
                <w:szCs w:val="24"/>
              </w:rPr>
            </w:pPr>
            <w:r>
              <w:rPr>
                <w:rFonts w:ascii="Times New Roman" w:hAnsi="Times New Roman" w:cs="Times New Roman"/>
                <w:color w:val="#000000"/>
                <w:sz w:val="24"/>
                <w:szCs w:val="24"/>
              </w:rPr>
              <w:t> 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pPr>
              <w:jc w:val="both"/>
              <w:spacing w:after="0" w:line="240" w:lineRule="auto"/>
              <w:rPr>
                <w:sz w:val="24"/>
                <w:szCs w:val="24"/>
              </w:rPr>
            </w:pPr>
            <w:r>
              <w:rPr>
                <w:rFonts w:ascii="Times New Roman" w:hAnsi="Times New Roman" w:cs="Times New Roman"/>
                <w:color w:val="#000000"/>
                <w:sz w:val="24"/>
                <w:szCs w:val="24"/>
              </w:rPr>
              <w:t> 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советской системе управления, обострение проблем социально-экономического развития страны.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4785.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pPr>
              <w:jc w:val="both"/>
              <w:spacing w:after="0" w:line="240" w:lineRule="auto"/>
              <w:rPr>
                <w:sz w:val="24"/>
                <w:szCs w:val="24"/>
              </w:rPr>
            </w:pPr>
            <w:r>
              <w:rPr>
                <w:rFonts w:ascii="Times New Roman" w:hAnsi="Times New Roman" w:cs="Times New Roman"/>
                <w:color w:val="#000000"/>
                <w:sz w:val="24"/>
                <w:szCs w:val="24"/>
              </w:rPr>
              <w:t> 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pPr>
              <w:jc w:val="both"/>
              <w:spacing w:after="0" w:line="240" w:lineRule="auto"/>
              <w:rPr>
                <w:sz w:val="24"/>
                <w:szCs w:val="24"/>
              </w:rPr>
            </w:pPr>
            <w:r>
              <w:rPr>
                <w:rFonts w:ascii="Times New Roman" w:hAnsi="Times New Roman" w:cs="Times New Roman"/>
                <w:color w:val="#000000"/>
                <w:sz w:val="24"/>
                <w:szCs w:val="24"/>
              </w:rPr>
              <w:t> 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референдума по вопросам доверия Президенту и его политике, проведения досрочных 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pPr>
              <w:jc w:val="both"/>
              <w:spacing w:after="0" w:line="240" w:lineRule="auto"/>
              <w:rPr>
                <w:sz w:val="24"/>
                <w:szCs w:val="24"/>
              </w:rPr>
            </w:pPr>
            <w:r>
              <w:rPr>
                <w:rFonts w:ascii="Times New Roman" w:hAnsi="Times New Roman" w:cs="Times New Roman"/>
                <w:color w:val="#000000"/>
                <w:sz w:val="24"/>
                <w:szCs w:val="24"/>
              </w:rPr>
              <w:t> 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pPr>
              <w:jc w:val="both"/>
              <w:spacing w:after="0" w:line="240" w:lineRule="auto"/>
              <w:rPr>
                <w:sz w:val="24"/>
                <w:szCs w:val="24"/>
              </w:rPr>
            </w:pPr>
            <w:r>
              <w:rPr>
                <w:rFonts w:ascii="Times New Roman" w:hAnsi="Times New Roman" w:cs="Times New Roman"/>
                <w:color w:val="#000000"/>
                <w:sz w:val="24"/>
                <w:szCs w:val="24"/>
              </w:rPr>
              <w:t> 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pPr>
              <w:jc w:val="both"/>
              <w:spacing w:after="0" w:line="240" w:lineRule="auto"/>
              <w:rPr>
                <w:sz w:val="24"/>
                <w:szCs w:val="24"/>
              </w:rPr>
            </w:pPr>
            <w:r>
              <w:rPr>
                <w:rFonts w:ascii="Times New Roman" w:hAnsi="Times New Roman" w:cs="Times New Roman"/>
                <w:color w:val="#000000"/>
                <w:sz w:val="24"/>
                <w:szCs w:val="24"/>
              </w:rPr>
              <w:t> 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pPr>
              <w:jc w:val="both"/>
              <w:spacing w:after="0" w:line="240" w:lineRule="auto"/>
              <w:rPr>
                <w:sz w:val="24"/>
                <w:szCs w:val="24"/>
              </w:rPr>
            </w:pPr>
            <w:r>
              <w:rPr>
                <w:rFonts w:ascii="Times New Roman" w:hAnsi="Times New Roman" w:cs="Times New Roman"/>
                <w:color w:val="#000000"/>
                <w:sz w:val="24"/>
                <w:szCs w:val="24"/>
              </w:rPr>
              <w:t> 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pPr>
              <w:jc w:val="both"/>
              <w:spacing w:after="0" w:line="240" w:lineRule="auto"/>
              <w:rPr>
                <w:sz w:val="24"/>
                <w:szCs w:val="24"/>
              </w:rPr>
            </w:pPr>
            <w:r>
              <w:rPr>
                <w:rFonts w:ascii="Times New Roman" w:hAnsi="Times New Roman" w:cs="Times New Roman"/>
                <w:color w:val="#000000"/>
                <w:sz w:val="24"/>
                <w:szCs w:val="24"/>
              </w:rPr>
              <w:t> 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pPr>
              <w:jc w:val="both"/>
              <w:spacing w:after="0" w:line="240" w:lineRule="auto"/>
              <w:rPr>
                <w:sz w:val="24"/>
                <w:szCs w:val="24"/>
              </w:rPr>
            </w:pPr>
            <w:r>
              <w:rPr>
                <w:rFonts w:ascii="Times New Roman" w:hAnsi="Times New Roman" w:cs="Times New Roman"/>
                <w:color w:val="#000000"/>
                <w:sz w:val="24"/>
                <w:szCs w:val="24"/>
              </w:rPr>
              <w:t> 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pPr>
              <w:jc w:val="both"/>
              <w:spacing w:after="0" w:line="240" w:lineRule="auto"/>
              <w:rPr>
                <w:sz w:val="24"/>
                <w:szCs w:val="24"/>
              </w:rPr>
            </w:pPr>
            <w:r>
              <w:rPr>
                <w:rFonts w:ascii="Times New Roman" w:hAnsi="Times New Roman" w:cs="Times New Roman"/>
                <w:color w:val="#000000"/>
                <w:sz w:val="24"/>
                <w:szCs w:val="24"/>
              </w:rPr>
              <w:t> 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2003 – 2004 годах». Указ Президента Российской Федерации от 9 марта 2004 года «О 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21.31495"/>
        </w:trPr>
        <w:tc>
          <w:tcPr>
            <w:tcW w:w="9640" w:type="dxa"/>
          </w:tcPr>
          <w:p/>
        </w:tc>
      </w:tr>
      <w:tr>
        <w:trPr>
          <w:trHeight w:hRule="exact" w:val="1326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pPr>
              <w:jc w:val="left"/>
              <w:spacing w:after="0" w:line="240" w:lineRule="auto"/>
              <w:rPr>
                <w:sz w:val="24"/>
                <w:szCs w:val="24"/>
              </w:rPr>
            </w:pPr>
            <w:r>
              <w:rPr>
                <w:rFonts w:ascii="Times New Roman" w:hAnsi="Times New Roman" w:cs="Times New Roman"/>
                <w:color w:val="#000000"/>
                <w:sz w:val="24"/>
                <w:szCs w:val="24"/>
              </w:rPr>
              <w:t> 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pPr>
              <w:jc w:val="left"/>
              <w:spacing w:after="0" w:line="240" w:lineRule="auto"/>
              <w:rPr>
                <w:sz w:val="24"/>
                <w:szCs w:val="24"/>
              </w:rPr>
            </w:pPr>
            <w:r>
              <w:rPr>
                <w:rFonts w:ascii="Times New Roman" w:hAnsi="Times New Roman" w:cs="Times New Roman"/>
                <w:color w:val="#000000"/>
                <w:sz w:val="24"/>
                <w:szCs w:val="24"/>
              </w:rPr>
              <w:t> 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pPr>
              <w:jc w:val="left"/>
              <w:spacing w:after="0" w:line="240" w:lineRule="auto"/>
              <w:rPr>
                <w:sz w:val="24"/>
                <w:szCs w:val="24"/>
              </w:rPr>
            </w:pPr>
            <w:r>
              <w:rPr>
                <w:rFonts w:ascii="Times New Roman" w:hAnsi="Times New Roman" w:cs="Times New Roman"/>
                <w:color w:val="#000000"/>
                <w:sz w:val="24"/>
                <w:szCs w:val="24"/>
              </w:rPr>
              <w:t> 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pPr>
              <w:jc w:val="left"/>
              <w:spacing w:after="0" w:line="240" w:lineRule="auto"/>
              <w:rPr>
                <w:sz w:val="24"/>
                <w:szCs w:val="24"/>
              </w:rPr>
            </w:pPr>
            <w:r>
              <w:rPr>
                <w:rFonts w:ascii="Times New Roman" w:hAnsi="Times New Roman" w:cs="Times New Roman"/>
                <w:color w:val="#000000"/>
                <w:sz w:val="24"/>
                <w:szCs w:val="24"/>
              </w:rPr>
              <w:t> 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pPr>
              <w:jc w:val="left"/>
              <w:spacing w:after="0" w:line="240" w:lineRule="auto"/>
              <w:rPr>
                <w:sz w:val="24"/>
                <w:szCs w:val="24"/>
              </w:rPr>
            </w:pPr>
            <w:r>
              <w:rPr>
                <w:rFonts w:ascii="Times New Roman" w:hAnsi="Times New Roman" w:cs="Times New Roman"/>
                <w:color w:val="#000000"/>
                <w:sz w:val="24"/>
                <w:szCs w:val="24"/>
              </w:rPr>
              <w:t> -1340 гг.), Дмитрия Донского (1359-1389 гг.), Ивана III (1462-1505 гг.), ее результаты.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pPr>
              <w:jc w:val="left"/>
              <w:spacing w:after="0" w:line="240" w:lineRule="auto"/>
              <w:rPr>
                <w:sz w:val="24"/>
                <w:szCs w:val="24"/>
              </w:rPr>
            </w:pPr>
            <w:r>
              <w:rPr>
                <w:rFonts w:ascii="Times New Roman" w:hAnsi="Times New Roman" w:cs="Times New Roman"/>
                <w:color w:val="#000000"/>
                <w:sz w:val="24"/>
                <w:szCs w:val="24"/>
              </w:rPr>
              <w:t> 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pPr>
              <w:jc w:val="left"/>
              <w:spacing w:after="0" w:line="240" w:lineRule="auto"/>
              <w:rPr>
                <w:sz w:val="24"/>
                <w:szCs w:val="24"/>
              </w:rPr>
            </w:pPr>
            <w:r>
              <w:rPr>
                <w:rFonts w:ascii="Times New Roman" w:hAnsi="Times New Roman" w:cs="Times New Roman"/>
                <w:color w:val="#000000"/>
                <w:sz w:val="24"/>
                <w:szCs w:val="24"/>
              </w:rPr>
              <w:t> «кормлений»,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pPr>
              <w:jc w:val="left"/>
              <w:spacing w:after="0" w:line="240" w:lineRule="auto"/>
              <w:rPr>
                <w:sz w:val="24"/>
                <w:szCs w:val="24"/>
              </w:rPr>
            </w:pPr>
            <w:r>
              <w:rPr>
                <w:rFonts w:ascii="Times New Roman" w:hAnsi="Times New Roman" w:cs="Times New Roman"/>
                <w:color w:val="#000000"/>
                <w:sz w:val="24"/>
                <w:szCs w:val="24"/>
              </w:rPr>
              <w:t> 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pPr>
              <w:jc w:val="left"/>
              <w:spacing w:after="0" w:line="240" w:lineRule="auto"/>
              <w:rPr>
                <w:sz w:val="24"/>
                <w:szCs w:val="24"/>
              </w:rPr>
            </w:pPr>
            <w:r>
              <w:rPr>
                <w:rFonts w:ascii="Times New Roman" w:hAnsi="Times New Roman" w:cs="Times New Roman"/>
                <w:color w:val="#000000"/>
                <w:sz w:val="24"/>
                <w:szCs w:val="24"/>
              </w:rPr>
              <w:t> 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pPr>
              <w:jc w:val="left"/>
              <w:spacing w:after="0" w:line="240" w:lineRule="auto"/>
              <w:rPr>
                <w:sz w:val="24"/>
                <w:szCs w:val="24"/>
              </w:rPr>
            </w:pPr>
            <w:r>
              <w:rPr>
                <w:rFonts w:ascii="Times New Roman" w:hAnsi="Times New Roman" w:cs="Times New Roman"/>
                <w:color w:val="#000000"/>
                <w:sz w:val="24"/>
                <w:szCs w:val="24"/>
              </w:rPr>
              <w:t> Местные органы власти и самоуправления - инициаторы патриотического движения за спасение Отечества, возрождение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Созыв Земского собора, избрание царем М.Ф.Романова (январь 1613 г.). Соуправление царя и Земского собора. Восстановление центрального правления (приказов),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аппарата, местной администрации, суда. Водворение порядка в стране, восстановление хозяйственной жизни, государственных повинностей, финансов. Защита государства от внутренних и внешних врагов.</w:t>
            </w:r>
          </w:p>
          <w:p>
            <w:pPr>
              <w:jc w:val="left"/>
              <w:spacing w:after="0" w:line="240" w:lineRule="auto"/>
              <w:rPr>
                <w:sz w:val="24"/>
                <w:szCs w:val="24"/>
              </w:rPr>
            </w:pPr>
            <w:r>
              <w:rPr>
                <w:rFonts w:ascii="Times New Roman" w:hAnsi="Times New Roman" w:cs="Times New Roman"/>
                <w:color w:val="#000000"/>
                <w:sz w:val="24"/>
                <w:szCs w:val="24"/>
              </w:rPr>
              <w:t> Законодательная реформа царя Алексея Михайловича. Соборное уложение 1949 г. о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pPr>
              <w:jc w:val="left"/>
              <w:spacing w:after="0" w:line="240" w:lineRule="auto"/>
              <w:rPr>
                <w:sz w:val="24"/>
                <w:szCs w:val="24"/>
              </w:rPr>
            </w:pPr>
            <w:r>
              <w:rPr>
                <w:rFonts w:ascii="Times New Roman" w:hAnsi="Times New Roman" w:cs="Times New Roman"/>
                <w:color w:val="#000000"/>
                <w:sz w:val="24"/>
                <w:szCs w:val="24"/>
              </w:rPr>
              <w:t> Раскол в Русской церкви, его влияние на отношения церковной и светской властей.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21.31495"/>
        </w:trPr>
        <w:tc>
          <w:tcPr>
            <w:tcW w:w="9640" w:type="dxa"/>
          </w:tcPr>
          <w:p/>
        </w:tc>
      </w:tr>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pPr>
              <w:jc w:val="left"/>
              <w:spacing w:after="0" w:line="240" w:lineRule="auto"/>
              <w:rPr>
                <w:sz w:val="24"/>
                <w:szCs w:val="24"/>
              </w:rPr>
            </w:pPr>
            <w:r>
              <w:rPr>
                <w:rFonts w:ascii="Times New Roman" w:hAnsi="Times New Roman" w:cs="Times New Roman"/>
                <w:color w:val="#000000"/>
                <w:sz w:val="24"/>
                <w:szCs w:val="24"/>
              </w:rPr>
              <w:t> 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pPr>
              <w:jc w:val="left"/>
              <w:spacing w:after="0" w:line="240" w:lineRule="auto"/>
              <w:rPr>
                <w:sz w:val="24"/>
                <w:szCs w:val="24"/>
              </w:rPr>
            </w:pPr>
            <w:r>
              <w:rPr>
                <w:rFonts w:ascii="Times New Roman" w:hAnsi="Times New Roman" w:cs="Times New Roman"/>
                <w:color w:val="#000000"/>
                <w:sz w:val="24"/>
                <w:szCs w:val="24"/>
              </w:rPr>
              <w:t> 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pPr>
              <w:jc w:val="left"/>
              <w:spacing w:after="0" w:line="240" w:lineRule="auto"/>
              <w:rPr>
                <w:sz w:val="24"/>
                <w:szCs w:val="24"/>
              </w:rPr>
            </w:pPr>
            <w:r>
              <w:rPr>
                <w:rFonts w:ascii="Times New Roman" w:hAnsi="Times New Roman" w:cs="Times New Roman"/>
                <w:color w:val="#000000"/>
                <w:sz w:val="24"/>
                <w:szCs w:val="24"/>
              </w:rPr>
              <w:t> Комиссия по составлению нового Уложения (Уложенная комиссия 1767-1768 гг.). «Наказ» Екатерины II-изложение принципов законодательной реформы.</w:t>
            </w:r>
          </w:p>
          <w:p>
            <w:pPr>
              <w:jc w:val="left"/>
              <w:spacing w:after="0" w:line="240" w:lineRule="auto"/>
              <w:rPr>
                <w:sz w:val="24"/>
                <w:szCs w:val="24"/>
              </w:rPr>
            </w:pPr>
            <w:r>
              <w:rPr>
                <w:rFonts w:ascii="Times New Roman" w:hAnsi="Times New Roman" w:cs="Times New Roman"/>
                <w:color w:val="#000000"/>
                <w:sz w:val="24"/>
                <w:szCs w:val="24"/>
              </w:rPr>
              <w:t> 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pPr>
              <w:jc w:val="left"/>
              <w:spacing w:after="0" w:line="240" w:lineRule="auto"/>
              <w:rPr>
                <w:sz w:val="24"/>
                <w:szCs w:val="24"/>
              </w:rPr>
            </w:pPr>
            <w:r>
              <w:rPr>
                <w:rFonts w:ascii="Times New Roman" w:hAnsi="Times New Roman" w:cs="Times New Roman"/>
                <w:color w:val="#000000"/>
                <w:sz w:val="24"/>
                <w:szCs w:val="24"/>
              </w:rPr>
              <w:t> «Учреждения для управления губерний Всероссийской империи» (7 ноября 1775 г.). Учреждение института генерал-губернаторов в управлении регионами.</w:t>
            </w:r>
          </w:p>
          <w:p>
            <w:pPr>
              <w:jc w:val="left"/>
              <w:spacing w:after="0" w:line="240" w:lineRule="auto"/>
              <w:rPr>
                <w:sz w:val="24"/>
                <w:szCs w:val="24"/>
              </w:rPr>
            </w:pPr>
            <w:r>
              <w:rPr>
                <w:rFonts w:ascii="Times New Roman" w:hAnsi="Times New Roman" w:cs="Times New Roman"/>
                <w:color w:val="#000000"/>
                <w:sz w:val="24"/>
                <w:szCs w:val="24"/>
              </w:rPr>
              <w:t> 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pPr>
              <w:jc w:val="left"/>
              <w:spacing w:after="0" w:line="240" w:lineRule="auto"/>
              <w:rPr>
                <w:sz w:val="24"/>
                <w:szCs w:val="24"/>
              </w:rPr>
            </w:pPr>
            <w:r>
              <w:rPr>
                <w:rFonts w:ascii="Times New Roman" w:hAnsi="Times New Roman" w:cs="Times New Roman"/>
                <w:color w:val="#000000"/>
                <w:sz w:val="24"/>
                <w:szCs w:val="24"/>
              </w:rPr>
              <w:t> 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Расцвет «фаворитизма», его влияния на сферу управления абсолютистского государства. Контрреформа Павла I в области государственного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pPr>
              <w:jc w:val="left"/>
              <w:spacing w:after="0" w:line="240" w:lineRule="auto"/>
              <w:rPr>
                <w:sz w:val="24"/>
                <w:szCs w:val="24"/>
              </w:rPr>
            </w:pPr>
            <w:r>
              <w:rPr>
                <w:rFonts w:ascii="Times New Roman" w:hAnsi="Times New Roman" w:cs="Times New Roman"/>
                <w:color w:val="#000000"/>
                <w:sz w:val="24"/>
                <w:szCs w:val="24"/>
              </w:rPr>
              <w:t> государственной администрации.</w:t>
            </w:r>
          </w:p>
          <w:p>
            <w:pPr>
              <w:jc w:val="left"/>
              <w:spacing w:after="0" w:line="240" w:lineRule="auto"/>
              <w:rPr>
                <w:sz w:val="24"/>
                <w:szCs w:val="24"/>
              </w:rPr>
            </w:pPr>
            <w:r>
              <w:rPr>
                <w:rFonts w:ascii="Times New Roman" w:hAnsi="Times New Roman" w:cs="Times New Roman"/>
                <w:color w:val="#000000"/>
                <w:sz w:val="24"/>
                <w:szCs w:val="24"/>
              </w:rPr>
              <w:t> 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1.31473"/>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Органы государственного и общественного управления в годы Первой мировой войны.</w:t>
            </w:r>
          </w:p>
          <w:p>
            <w:pPr>
              <w:jc w:val="left"/>
              <w:spacing w:after="0" w:line="240" w:lineRule="auto"/>
              <w:rPr>
                <w:sz w:val="24"/>
                <w:szCs w:val="24"/>
              </w:rPr>
            </w:pPr>
            <w:r>
              <w:rPr>
                <w:rFonts w:ascii="Times New Roman" w:hAnsi="Times New Roman" w:cs="Times New Roman"/>
                <w:color w:val="#000000"/>
                <w:sz w:val="24"/>
                <w:szCs w:val="24"/>
              </w:rPr>
              <w:t> 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pPr>
              <w:jc w:val="left"/>
              <w:spacing w:after="0" w:line="240" w:lineRule="auto"/>
              <w:rPr>
                <w:sz w:val="24"/>
                <w:szCs w:val="24"/>
              </w:rPr>
            </w:pPr>
            <w:r>
              <w:rPr>
                <w:rFonts w:ascii="Times New Roman" w:hAnsi="Times New Roman" w:cs="Times New Roman"/>
                <w:color w:val="#000000"/>
                <w:sz w:val="24"/>
                <w:szCs w:val="24"/>
              </w:rPr>
              <w:t> 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21.31518"/>
        </w:trPr>
        <w:tc>
          <w:tcPr>
            <w:tcW w:w="9640" w:type="dxa"/>
          </w:tcPr>
          <w:p/>
        </w:tc>
      </w:tr>
      <w:tr>
        <w:trPr>
          <w:trHeight w:hRule="exact" w:val="42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страной.</w:t>
            </w:r>
          </w:p>
          <w:p>
            <w:pPr>
              <w:jc w:val="left"/>
              <w:spacing w:after="0" w:line="240" w:lineRule="auto"/>
              <w:rPr>
                <w:sz w:val="24"/>
                <w:szCs w:val="24"/>
              </w:rPr>
            </w:pPr>
            <w:r>
              <w:rPr>
                <w:rFonts w:ascii="Times New Roman" w:hAnsi="Times New Roman" w:cs="Times New Roman"/>
                <w:color w:val="#000000"/>
                <w:sz w:val="24"/>
                <w:szCs w:val="24"/>
              </w:rPr>
              <w:t> Нормализация государственно-церковных отношений в годы войны. Восстановление патриаршества РПЦ, патриотическая деятельность церкви.</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pPr>
              <w:jc w:val="left"/>
              <w:spacing w:after="0" w:line="240" w:lineRule="auto"/>
              <w:rPr>
                <w:sz w:val="24"/>
                <w:szCs w:val="24"/>
              </w:rPr>
            </w:pPr>
            <w:r>
              <w:rPr>
                <w:rFonts w:ascii="Times New Roman" w:hAnsi="Times New Roman" w:cs="Times New Roman"/>
                <w:color w:val="#000000"/>
                <w:sz w:val="24"/>
                <w:szCs w:val="24"/>
              </w:rPr>
              <w:t> 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pPr>
              <w:jc w:val="left"/>
              <w:spacing w:after="0" w:line="240" w:lineRule="auto"/>
              <w:rPr>
                <w:sz w:val="24"/>
                <w:szCs w:val="24"/>
              </w:rPr>
            </w:pPr>
            <w:r>
              <w:rPr>
                <w:rFonts w:ascii="Times New Roman" w:hAnsi="Times New Roman" w:cs="Times New Roman"/>
                <w:color w:val="#000000"/>
                <w:sz w:val="24"/>
                <w:szCs w:val="24"/>
              </w:rPr>
              <w:t> Введение института президентства в РСФСР (июнь 1991 г.). Преобразование российских органов власти и управления.</w:t>
            </w:r>
          </w:p>
          <w:p>
            <w:pPr>
              <w:jc w:val="left"/>
              <w:spacing w:after="0" w:line="240" w:lineRule="auto"/>
              <w:rPr>
                <w:sz w:val="24"/>
                <w:szCs w:val="24"/>
              </w:rPr>
            </w:pPr>
            <w:r>
              <w:rPr>
                <w:rFonts w:ascii="Times New Roman" w:hAnsi="Times New Roman" w:cs="Times New Roman"/>
                <w:color w:val="#000000"/>
                <w:sz w:val="24"/>
                <w:szCs w:val="24"/>
              </w:rPr>
              <w:t> 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21.31518"/>
        </w:trPr>
        <w:tc>
          <w:tcPr>
            <w:tcW w:w="9640" w:type="dxa"/>
          </w:tcPr>
          <w:p/>
        </w:tc>
      </w:tr>
      <w:tr>
        <w:trPr>
          <w:trHeight w:hRule="exact" w:val="5690.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pPr>
              <w:jc w:val="left"/>
              <w:spacing w:after="0" w:line="240" w:lineRule="auto"/>
              <w:rPr>
                <w:sz w:val="24"/>
                <w:szCs w:val="24"/>
              </w:rPr>
            </w:pPr>
            <w:r>
              <w:rPr>
                <w:rFonts w:ascii="Times New Roman" w:hAnsi="Times New Roman" w:cs="Times New Roman"/>
                <w:color w:val="#000000"/>
                <w:sz w:val="24"/>
                <w:szCs w:val="24"/>
              </w:rPr>
              <w:t> 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pPr>
              <w:jc w:val="left"/>
              <w:spacing w:after="0" w:line="240" w:lineRule="auto"/>
              <w:rPr>
                <w:sz w:val="24"/>
                <w:szCs w:val="24"/>
              </w:rPr>
            </w:pPr>
            <w:r>
              <w:rPr>
                <w:rFonts w:ascii="Times New Roman" w:hAnsi="Times New Roman" w:cs="Times New Roman"/>
                <w:color w:val="#000000"/>
                <w:sz w:val="24"/>
                <w:szCs w:val="24"/>
              </w:rPr>
              <w:t> 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Преобразование органов местного управления. Муниципальная реформа, цели и 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 организации местного самоуправления в городе Москве» (ноябрь 2002 г.).</w:t>
            </w:r>
          </w:p>
          <w:p>
            <w:pPr>
              <w:jc w:val="left"/>
              <w:spacing w:after="0" w:line="240" w:lineRule="auto"/>
              <w:rPr>
                <w:sz w:val="24"/>
                <w:szCs w:val="24"/>
              </w:rPr>
            </w:pPr>
            <w:r>
              <w:rPr>
                <w:rFonts w:ascii="Times New Roman" w:hAnsi="Times New Roman" w:cs="Times New Roman"/>
                <w:color w:val="#000000"/>
                <w:sz w:val="24"/>
                <w:szCs w:val="24"/>
              </w:rPr>
              <w:t> 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0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5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8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2023-2024_ФГОС3++2023_Бак-ОФО-ГМУ(ГМС)(23)_plx_История государственного управления</dc:title>
  <dc:creator>FastReport.NET</dc:creator>
</cp:coreProperties>
</file>